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60" w:lineRule="exact"/>
        <w:jc w:val="center"/>
        <w:textAlignment w:val="auto"/>
        <w:rPr>
          <w:rFonts w:hint="eastAsia" w:ascii="仿宋" w:hAnsi="仿宋" w:eastAsia="仿宋" w:cs="仿宋"/>
          <w:b/>
          <w:bCs/>
          <w:sz w:val="32"/>
          <w:szCs w:val="32"/>
        </w:rPr>
      </w:pPr>
      <w:bookmarkStart w:id="0" w:name="_GoBack"/>
      <w:bookmarkEnd w:id="0"/>
      <w:r>
        <w:rPr>
          <w:rFonts w:hint="eastAsia" w:asciiTheme="majorEastAsia" w:hAnsiTheme="majorEastAsia" w:eastAsiaTheme="majorEastAsia" w:cstheme="majorEastAsia"/>
          <w:b/>
          <w:bCs/>
          <w:sz w:val="36"/>
          <w:szCs w:val="36"/>
        </w:rPr>
        <w:t>珠海市优秀水务工程咨询奖申报细则</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 w:hAnsi="仿宋" w:eastAsia="仿宋" w:cs="仿宋"/>
          <w:bCs/>
          <w:color w:val="000000"/>
          <w:sz w:val="32"/>
          <w:szCs w:val="32"/>
        </w:rPr>
      </w:pP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一、申报范围</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sz w:val="32"/>
          <w:szCs w:val="32"/>
        </w:rPr>
        <w:t>申报范围包括新建、改建、扩建或技术改造的水利水电枢纽、河道整治、引调水、灌溉排涝、城市防洪、围垦工程、水土保持、水环境整治、水生态修复以及单独立项的市政给排水厂站及管网工程等项目的工程咨询，包括：</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一</w:t>
      </w:r>
      <w:r>
        <w:rPr>
          <w:rFonts w:hint="eastAsia" w:ascii="仿宋" w:hAnsi="仿宋" w:eastAsia="仿宋" w:cs="仿宋"/>
          <w:sz w:val="32"/>
          <w:szCs w:val="32"/>
        </w:rPr>
        <w:t>)</w:t>
      </w:r>
      <w:r>
        <w:rPr>
          <w:rFonts w:hint="eastAsia" w:ascii="仿宋" w:hAnsi="仿宋" w:eastAsia="仿宋" w:cs="仿宋"/>
          <w:sz w:val="32"/>
          <w:szCs w:val="32"/>
        </w:rPr>
        <w:t>规划咨询</w:t>
      </w:r>
      <w:r>
        <w:rPr>
          <w:rFonts w:hint="eastAsia" w:ascii="仿宋" w:hAnsi="仿宋" w:eastAsia="仿宋" w:cs="仿宋"/>
          <w:sz w:val="32"/>
          <w:szCs w:val="32"/>
        </w:rPr>
        <w:t>:</w:t>
      </w:r>
      <w:r>
        <w:rPr>
          <w:rFonts w:hint="eastAsia" w:ascii="仿宋" w:hAnsi="仿宋" w:eastAsia="仿宋" w:cs="仿宋"/>
          <w:sz w:val="32"/>
          <w:szCs w:val="32"/>
        </w:rPr>
        <w:t>含专项规划、行业规划等</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二</w:t>
      </w:r>
      <w:r>
        <w:rPr>
          <w:rFonts w:hint="eastAsia" w:ascii="仿宋" w:hAnsi="仿宋" w:eastAsia="仿宋" w:cs="仿宋"/>
          <w:sz w:val="32"/>
          <w:szCs w:val="32"/>
        </w:rPr>
        <w:t>)</w:t>
      </w:r>
      <w:r>
        <w:rPr>
          <w:rFonts w:hint="eastAsia" w:ascii="仿宋" w:hAnsi="仿宋" w:eastAsia="仿宋" w:cs="仿宋"/>
          <w:sz w:val="32"/>
          <w:szCs w:val="32"/>
        </w:rPr>
        <w:t>项目咨询</w:t>
      </w:r>
      <w:r>
        <w:rPr>
          <w:rFonts w:hint="eastAsia" w:ascii="仿宋" w:hAnsi="仿宋" w:eastAsia="仿宋" w:cs="仿宋"/>
          <w:sz w:val="32"/>
          <w:szCs w:val="32"/>
        </w:rPr>
        <w:t>:</w:t>
      </w:r>
      <w:r>
        <w:rPr>
          <w:rFonts w:hint="eastAsia" w:ascii="仿宋" w:hAnsi="仿宋" w:eastAsia="仿宋" w:cs="仿宋"/>
          <w:sz w:val="32"/>
          <w:szCs w:val="32"/>
        </w:rPr>
        <w:t>含项目建议书</w:t>
      </w:r>
      <w:r>
        <w:rPr>
          <w:rFonts w:hint="eastAsia" w:ascii="仿宋" w:hAnsi="仿宋" w:eastAsia="仿宋" w:cs="仿宋"/>
          <w:sz w:val="32"/>
          <w:szCs w:val="32"/>
        </w:rPr>
        <w:t>(</w:t>
      </w:r>
      <w:r>
        <w:rPr>
          <w:rFonts w:hint="eastAsia" w:ascii="仿宋" w:hAnsi="仿宋" w:eastAsia="仿宋" w:cs="仿宋"/>
          <w:sz w:val="32"/>
          <w:szCs w:val="32"/>
        </w:rPr>
        <w:t>预可行性研究</w:t>
      </w:r>
      <w:r>
        <w:rPr>
          <w:rFonts w:hint="eastAsia" w:ascii="仿宋" w:hAnsi="仿宋" w:eastAsia="仿宋" w:cs="仿宋"/>
          <w:sz w:val="32"/>
          <w:szCs w:val="32"/>
        </w:rPr>
        <w:t>)</w:t>
      </w:r>
      <w:r>
        <w:rPr>
          <w:rFonts w:hint="eastAsia" w:ascii="仿宋" w:hAnsi="仿宋" w:eastAsia="仿宋" w:cs="仿宋"/>
          <w:sz w:val="32"/>
          <w:szCs w:val="32"/>
        </w:rPr>
        <w:t>、项目可行性研究报告、防洪影响评价、水土保持方案等</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三</w:t>
      </w:r>
      <w:r>
        <w:rPr>
          <w:rFonts w:hint="eastAsia" w:ascii="仿宋" w:hAnsi="仿宋" w:eastAsia="仿宋" w:cs="仿宋"/>
          <w:sz w:val="32"/>
          <w:szCs w:val="32"/>
        </w:rPr>
        <w:t>)</w:t>
      </w:r>
      <w:r>
        <w:rPr>
          <w:rFonts w:hint="eastAsia" w:ascii="仿宋" w:hAnsi="仿宋" w:eastAsia="仿宋" w:cs="仿宋"/>
          <w:sz w:val="32"/>
          <w:szCs w:val="32"/>
        </w:rPr>
        <w:t>其他咨询</w:t>
      </w:r>
      <w:r>
        <w:rPr>
          <w:rFonts w:hint="eastAsia" w:ascii="仿宋" w:hAnsi="仿宋" w:eastAsia="仿宋" w:cs="仿宋"/>
          <w:sz w:val="32"/>
          <w:szCs w:val="32"/>
        </w:rPr>
        <w:t>:</w:t>
      </w:r>
      <w:r>
        <w:rPr>
          <w:rFonts w:hint="eastAsia" w:ascii="仿宋" w:hAnsi="仿宋" w:eastAsia="仿宋" w:cs="仿宋"/>
          <w:sz w:val="32"/>
          <w:szCs w:val="32"/>
        </w:rPr>
        <w:t xml:space="preserve"> 工程咨询单位自行开展或接受有关部门委托开展的专题报告或相关标准、规范和新技术等。</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二、申报条件</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（一）申报珠海市优秀工程咨询成果的单位，必须是成果的第一完成单位，且成果的第一完成人必须为该单位的正式员工。</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二）研究类成果，须出具在国内外学术会议或有重要学术影响的专业刊物或内参上发表，并获得了高度评价的证明，或者是获得了实际应用效果的权威证明。属于专题研究报告，须出具专家评审、鉴定意见，有关单位采纳成果的证明，实施或应用证明。</w:t>
      </w:r>
    </w:p>
    <w:p>
      <w:pPr>
        <w:keepNext w:val="0"/>
        <w:keepLines w:val="0"/>
        <w:pageBreakBefore w:val="0"/>
        <w:widowControl w:val="0"/>
        <w:kinsoku/>
        <w:wordWrap/>
        <w:overflowPunct/>
        <w:topLinePunct w:val="0"/>
        <w:autoSpaceDE w:val="0"/>
        <w:autoSpaceDN w:val="0"/>
        <w:bidi w:val="0"/>
        <w:adjustRightInd w:val="0"/>
        <w:snapToGrid/>
        <w:spacing w:line="560" w:lineRule="exact"/>
        <w:ind w:firstLine="480" w:firstLineChars="15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（三）规划类、项目咨询类成果，必须出具评估或评审意见，上级审批意见或业主认可意见；已开展建设或建成投产的项目还须出具建设单位的开工建设证明或使用效果证明。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三、申报材料</w:t>
      </w:r>
    </w:p>
    <w:p>
      <w:pPr>
        <w:keepNext w:val="0"/>
        <w:keepLines w:val="0"/>
        <w:pageBreakBefore w:val="0"/>
        <w:widowControl w:val="0"/>
        <w:numPr>
          <w:ilvl w:val="0"/>
          <w:numId w:val="1"/>
        </w:numPr>
        <w:kinsoku/>
        <w:wordWrap/>
        <w:overflowPunct/>
        <w:topLinePunct w:val="0"/>
        <w:bidi w:val="0"/>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《申报表》单独装订。</w:t>
      </w:r>
    </w:p>
    <w:p>
      <w:pPr>
        <w:keepNext w:val="0"/>
        <w:keepLines w:val="0"/>
        <w:pageBreakBefore w:val="0"/>
        <w:widowControl w:val="0"/>
        <w:numPr>
          <w:ilvl w:val="0"/>
          <w:numId w:val="1"/>
        </w:numPr>
        <w:kinsoku/>
        <w:wordWrap/>
        <w:overflowPunct/>
        <w:topLinePunct w:val="0"/>
        <w:bidi w:val="0"/>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附件材料</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color w:val="000000"/>
          <w:sz w:val="32"/>
          <w:szCs w:val="32"/>
        </w:rPr>
        <w:t>1</w:t>
      </w:r>
      <w:r>
        <w:rPr>
          <w:rFonts w:hint="eastAsia" w:ascii="仿宋" w:hAnsi="仿宋" w:eastAsia="仿宋" w:cs="仿宋"/>
          <w:color w:val="000000"/>
          <w:sz w:val="32"/>
          <w:szCs w:val="32"/>
        </w:rPr>
        <w:t>、申报单位的资质证书复印件、</w:t>
      </w:r>
      <w:r>
        <w:rPr>
          <w:rFonts w:hint="eastAsia" w:ascii="仿宋" w:hAnsi="仿宋" w:eastAsia="仿宋" w:cs="仿宋"/>
          <w:sz w:val="32"/>
          <w:szCs w:val="32"/>
        </w:rPr>
        <w:t>工程项目验收文件复印件、工程项目建设单位或使用单位意见以及已获奖励、专项技术成果认定证明文件等其它文件（可单独装订也可和图纸照片合在一起装订，并附目录）。</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sz w:val="32"/>
          <w:szCs w:val="32"/>
        </w:rPr>
        <w:t>2、图纸和照片：</w:t>
      </w:r>
      <w:r>
        <w:rPr>
          <w:rFonts w:hint="eastAsia" w:ascii="仿宋" w:hAnsi="仿宋" w:eastAsia="仿宋" w:cs="仿宋"/>
          <w:color w:val="000000"/>
          <w:sz w:val="32"/>
          <w:szCs w:val="32"/>
        </w:rPr>
        <w:t>图片材料均应有较好的清晰度，以便于输出利用及网上浏览，其分辨率应不小于300dpi。图片为JPG格式。实物照片不可用效果图替代。照片宜为数码相机拍摄，如采用胶片、反转片拍摄，应转为数码格式，并应保证清晰度。</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四、填报要求</w:t>
      </w:r>
    </w:p>
    <w:p>
      <w:pPr>
        <w:keepNext w:val="0"/>
        <w:keepLines w:val="0"/>
        <w:pageBreakBefore w:val="0"/>
        <w:widowControl w:val="0"/>
        <w:numPr>
          <w:ilvl w:val="0"/>
          <w:numId w:val="2"/>
        </w:numPr>
        <w:kinsoku/>
        <w:wordWrap/>
        <w:overflowPunct/>
        <w:topLinePunct w:val="0"/>
        <w:bidi w:val="0"/>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由若干单位共同协作完成的工程咨询项目，应由主要完成单位申报。主要合作设计单位应填写在“项目申报表”的第一项“基本情况”栏。合作设计单位要在“项目申报表”的最后一项“工程咨询项目申报声明”中加盖印章。</w:t>
      </w:r>
    </w:p>
    <w:p>
      <w:pPr>
        <w:keepNext w:val="0"/>
        <w:keepLines w:val="0"/>
        <w:pageBreakBefore w:val="0"/>
        <w:widowControl w:val="0"/>
        <w:numPr>
          <w:ilvl w:val="0"/>
          <w:numId w:val="2"/>
        </w:numPr>
        <w:kinsoku/>
        <w:wordWrap/>
        <w:overflowPunct/>
        <w:topLinePunct w:val="0"/>
        <w:bidi w:val="0"/>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申报材料要完整、准确，图纸要图面清晰，数量不要太多，深度以能说明项目内容为准。</w:t>
      </w:r>
    </w:p>
    <w:p>
      <w:pPr>
        <w:keepNext w:val="0"/>
        <w:keepLines w:val="0"/>
        <w:pageBreakBefore w:val="0"/>
        <w:widowControl w:val="0"/>
        <w:numPr>
          <w:ilvl w:val="0"/>
          <w:numId w:val="2"/>
        </w:numPr>
        <w:kinsoku/>
        <w:wordWrap/>
        <w:overflowPunct/>
        <w:topLinePunct w:val="0"/>
        <w:bidi w:val="0"/>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申报表”的第一项“基本情况”中的“申报单位联系人”一栏，应为单位技术管理部门人员，不宜填报具体项目的设计人员。申报材料要完整、准确，图纸要图面清晰，数量不要太多，深度以能说明项目内容为准。</w:t>
      </w:r>
    </w:p>
    <w:p>
      <w:pPr>
        <w:rPr>
          <w:rFonts w:ascii="仿宋" w:hAnsi="仿宋" w:eastAsia="仿宋"/>
          <w:bCs/>
          <w:color w:val="000000"/>
          <w:sz w:val="30"/>
          <w:szCs w:val="30"/>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4B109C"/>
    <w:multiLevelType w:val="multilevel"/>
    <w:tmpl w:val="2F4B109C"/>
    <w:lvl w:ilvl="0" w:tentative="0">
      <w:start w:val="1"/>
      <w:numFmt w:val="japaneseCounting"/>
      <w:lvlText w:val="（%1）"/>
      <w:lvlJc w:val="left"/>
      <w:pPr>
        <w:ind w:left="562" w:hanging="420"/>
      </w:pPr>
      <w:rPr>
        <w:rFonts w:hint="default" w:ascii="仿宋" w:hAnsi="仿宋" w:eastAsia="仿宋"/>
      </w:rPr>
    </w:lvl>
    <w:lvl w:ilvl="1" w:tentative="0">
      <w:start w:val="1"/>
      <w:numFmt w:val="lowerLetter"/>
      <w:lvlText w:val="%2)"/>
      <w:lvlJc w:val="left"/>
      <w:pPr>
        <w:ind w:left="1833" w:hanging="420"/>
      </w:pPr>
    </w:lvl>
    <w:lvl w:ilvl="2" w:tentative="0">
      <w:start w:val="1"/>
      <w:numFmt w:val="lowerRoman"/>
      <w:lvlText w:val="%3."/>
      <w:lvlJc w:val="right"/>
      <w:pPr>
        <w:ind w:left="2253" w:hanging="420"/>
      </w:pPr>
    </w:lvl>
    <w:lvl w:ilvl="3" w:tentative="0">
      <w:start w:val="1"/>
      <w:numFmt w:val="decimal"/>
      <w:lvlText w:val="%4."/>
      <w:lvlJc w:val="left"/>
      <w:pPr>
        <w:ind w:left="2673" w:hanging="420"/>
      </w:pPr>
    </w:lvl>
    <w:lvl w:ilvl="4" w:tentative="0">
      <w:start w:val="1"/>
      <w:numFmt w:val="lowerLetter"/>
      <w:lvlText w:val="%5)"/>
      <w:lvlJc w:val="left"/>
      <w:pPr>
        <w:ind w:left="3093" w:hanging="420"/>
      </w:pPr>
    </w:lvl>
    <w:lvl w:ilvl="5" w:tentative="0">
      <w:start w:val="1"/>
      <w:numFmt w:val="lowerRoman"/>
      <w:lvlText w:val="%6."/>
      <w:lvlJc w:val="right"/>
      <w:pPr>
        <w:ind w:left="3513" w:hanging="420"/>
      </w:pPr>
    </w:lvl>
    <w:lvl w:ilvl="6" w:tentative="0">
      <w:start w:val="1"/>
      <w:numFmt w:val="decimal"/>
      <w:lvlText w:val="%7."/>
      <w:lvlJc w:val="left"/>
      <w:pPr>
        <w:ind w:left="3933" w:hanging="420"/>
      </w:pPr>
    </w:lvl>
    <w:lvl w:ilvl="7" w:tentative="0">
      <w:start w:val="1"/>
      <w:numFmt w:val="lowerLetter"/>
      <w:lvlText w:val="%8)"/>
      <w:lvlJc w:val="left"/>
      <w:pPr>
        <w:ind w:left="4353" w:hanging="420"/>
      </w:pPr>
    </w:lvl>
    <w:lvl w:ilvl="8" w:tentative="0">
      <w:start w:val="1"/>
      <w:numFmt w:val="lowerRoman"/>
      <w:lvlText w:val="%9."/>
      <w:lvlJc w:val="right"/>
      <w:pPr>
        <w:ind w:left="4773" w:hanging="420"/>
      </w:pPr>
    </w:lvl>
  </w:abstractNum>
  <w:abstractNum w:abstractNumId="1">
    <w:nsid w:val="6BE45607"/>
    <w:multiLevelType w:val="multilevel"/>
    <w:tmpl w:val="6BE45607"/>
    <w:lvl w:ilvl="0" w:tentative="0">
      <w:start w:val="1"/>
      <w:numFmt w:val="japaneseCounting"/>
      <w:lvlText w:val="（%1）"/>
      <w:lvlJc w:val="left"/>
      <w:pPr>
        <w:ind w:left="990" w:hanging="420"/>
      </w:pPr>
      <w:rPr>
        <w:rFonts w:hint="default" w:ascii="仿宋" w:hAnsi="仿宋" w:eastAsia="仿宋"/>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kYjJlYzc2NDQyNmE2MmY5MmI2YzdmM2NmYzM2ODUifQ=="/>
  </w:docVars>
  <w:rsids>
    <w:rsidRoot w:val="00096E5C"/>
    <w:rsid w:val="00096E5C"/>
    <w:rsid w:val="001250E7"/>
    <w:rsid w:val="00171192"/>
    <w:rsid w:val="002078F5"/>
    <w:rsid w:val="002842DE"/>
    <w:rsid w:val="003E7CC7"/>
    <w:rsid w:val="00400B0C"/>
    <w:rsid w:val="008737F8"/>
    <w:rsid w:val="008C25A4"/>
    <w:rsid w:val="00940180"/>
    <w:rsid w:val="00A10EC0"/>
    <w:rsid w:val="00A1160C"/>
    <w:rsid w:val="00C02578"/>
    <w:rsid w:val="00CB37BB"/>
    <w:rsid w:val="00DA39B8"/>
    <w:rsid w:val="00DF3EBD"/>
    <w:rsid w:val="00E021D7"/>
    <w:rsid w:val="00F265A8"/>
    <w:rsid w:val="517613AA"/>
    <w:rsid w:val="69F8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uiPriority w:val="0"/>
    <w:rPr>
      <w:rFonts w:ascii="宋体" w:hAnsi="Courier New" w:eastAsiaTheme="minorEastAsia" w:cstheme="minorBidi"/>
      <w:szCs w:val="21"/>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_Style 3"/>
    <w:basedOn w:val="1"/>
    <w:next w:val="8"/>
    <w:qFormat/>
    <w:uiPriority w:val="99"/>
    <w:pPr>
      <w:ind w:left="720"/>
      <w:contextualSpacing/>
    </w:pPr>
  </w:style>
  <w:style w:type="paragraph" w:styleId="8">
    <w:name w:val="List Paragraph"/>
    <w:basedOn w:val="1"/>
    <w:qFormat/>
    <w:uiPriority w:val="34"/>
    <w:pPr>
      <w:ind w:firstLine="420" w:firstLineChars="200"/>
    </w:pPr>
  </w:style>
  <w:style w:type="paragraph" w:customStyle="1" w:styleId="9">
    <w:name w:val="Char"/>
    <w:basedOn w:val="1"/>
    <w:next w:val="1"/>
    <w:qFormat/>
    <w:uiPriority w:val="99"/>
    <w:pPr>
      <w:widowControl/>
      <w:spacing w:before="100" w:beforeAutospacing="1" w:after="100" w:afterAutospacing="1" w:line="360" w:lineRule="auto"/>
      <w:jc w:val="left"/>
    </w:pPr>
    <w:rPr>
      <w:rFonts w:ascii="Verdana" w:hAnsi="Verdana" w:cs="Verdana"/>
      <w:kern w:val="0"/>
      <w:sz w:val="24"/>
      <w:lang w:eastAsia="en-US"/>
    </w:rPr>
  </w:style>
  <w:style w:type="character" w:customStyle="1" w:styleId="10">
    <w:name w:val="纯文本 Char1"/>
    <w:link w:val="2"/>
    <w:qFormat/>
    <w:uiPriority w:val="0"/>
    <w:rPr>
      <w:rFonts w:ascii="宋体" w:hAnsi="Courier New"/>
      <w:szCs w:val="21"/>
    </w:rPr>
  </w:style>
  <w:style w:type="character" w:customStyle="1" w:styleId="11">
    <w:name w:val="纯文本 Char"/>
    <w:basedOn w:val="6"/>
    <w:semiHidden/>
    <w:qFormat/>
    <w:uiPriority w:val="99"/>
    <w:rPr>
      <w:rFonts w:ascii="宋体" w:hAnsi="Courier New" w:eastAsia="宋体" w:cs="Courier New"/>
      <w:szCs w:val="21"/>
    </w:rPr>
  </w:style>
  <w:style w:type="character" w:customStyle="1" w:styleId="12">
    <w:name w:val="页眉 Char"/>
    <w:basedOn w:val="6"/>
    <w:link w:val="4"/>
    <w:uiPriority w:val="99"/>
    <w:rPr>
      <w:rFonts w:ascii="Times New Roman" w:hAnsi="Times New Roman" w:eastAsia="宋体" w:cs="Times New Roman"/>
      <w:sz w:val="18"/>
      <w:szCs w:val="18"/>
    </w:rPr>
  </w:style>
  <w:style w:type="character" w:customStyle="1" w:styleId="13">
    <w:name w:val="页脚 Char"/>
    <w:basedOn w:val="6"/>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906</Words>
  <Characters>913</Characters>
  <Lines>6</Lines>
  <Paragraphs>1</Paragraphs>
  <TotalTime>1</TotalTime>
  <ScaleCrop>false</ScaleCrop>
  <LinksUpToDate>false</LinksUpToDate>
  <CharactersWithSpaces>914</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2022-08-03T09:16:00Z</dcterms:created>
  <dc:creator>G100-PC</dc:creator>
  <cp:lastModifiedBy>Empty</cp:lastModifiedBy>
  <dcterms:modified xsi:type="dcterms:W3CDTF">2022-08-25T09:19:58Z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710C12129A974971A3BA2EBF37B13002</vt:lpwstr>
  </property>
</Properties>
</file>